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Cambria" w:cs="Cambria" w:eastAsia="Cambria" w:hAnsi="Cambria"/>
          <w:sz w:val="24"/>
          <w:szCs w:val="24"/>
        </w:rPr>
      </w:pPr>
      <w:r w:rsidDel="00000000" w:rsidR="00000000" w:rsidRPr="00000000">
        <w:rPr>
          <w:rtl w:val="0"/>
        </w:rPr>
      </w:r>
    </w:p>
    <w:tbl>
      <w:tblPr>
        <w:tblStyle w:val="Table1"/>
        <w:tblW w:w="9723.913385826772"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8164.913385826772"/>
        <w:tblGridChange w:id="0">
          <w:tblGrid>
            <w:gridCol w:w="1559"/>
            <w:gridCol w:w="8164.913385826772"/>
          </w:tblGrid>
        </w:tblGridChange>
      </w:tblGrid>
      <w:tr>
        <w:trPr>
          <w:cantSplit w:val="0"/>
          <w:trHeight w:val="172" w:hRule="atLeast"/>
          <w:tblHeader w:val="0"/>
        </w:trPr>
        <w:tc>
          <w:tcPr/>
          <w:p w:rsidR="00000000" w:rsidDel="00000000" w:rsidP="00000000" w:rsidRDefault="00000000" w:rsidRPr="00000000" w14:paraId="00000002">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Sentencia</w:t>
            </w:r>
          </w:p>
        </w:tc>
        <w:tc>
          <w:tcPr/>
          <w:p w:rsidR="00000000" w:rsidDel="00000000" w:rsidP="00000000" w:rsidRDefault="00000000" w:rsidRPr="00000000" w14:paraId="0000000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 de providencia SP4135-2019 Rad 52394</w:t>
            </w:r>
          </w:p>
        </w:tc>
      </w:tr>
      <w:tr>
        <w:trPr>
          <w:cantSplit w:val="0"/>
          <w:trHeight w:val="318" w:hRule="atLeast"/>
          <w:tblHeader w:val="0"/>
        </w:trPr>
        <w:tc>
          <w:tcPr/>
          <w:p w:rsidR="00000000" w:rsidDel="00000000" w:rsidP="00000000" w:rsidRDefault="00000000" w:rsidRPr="00000000" w14:paraId="0000000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Autoridad</w:t>
            </w:r>
          </w:p>
        </w:tc>
        <w:tc>
          <w:tcPr/>
          <w:p w:rsidR="00000000" w:rsidDel="00000000" w:rsidP="00000000" w:rsidRDefault="00000000" w:rsidRPr="00000000" w14:paraId="00000005">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Corte Suprema de Justicia</w:t>
            </w:r>
          </w:p>
        </w:tc>
      </w:tr>
      <w:tr>
        <w:trPr>
          <w:cantSplit w:val="0"/>
          <w:trHeight w:val="267" w:hRule="atLeast"/>
          <w:tblHeader w:val="0"/>
        </w:trPr>
        <w:tc>
          <w:tcPr/>
          <w:p w:rsidR="00000000" w:rsidDel="00000000" w:rsidP="00000000" w:rsidRDefault="00000000" w:rsidRPr="00000000" w14:paraId="00000006">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Fecha</w:t>
            </w:r>
          </w:p>
        </w:tc>
        <w:tc>
          <w:tcPr/>
          <w:p w:rsidR="00000000" w:rsidDel="00000000" w:rsidP="00000000" w:rsidRDefault="00000000" w:rsidRPr="00000000" w14:paraId="00000007">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 de octubre de 2019</w:t>
            </w:r>
          </w:p>
        </w:tc>
      </w:tr>
      <w:tr>
        <w:trPr>
          <w:cantSplit w:val="0"/>
          <w:trHeight w:val="782" w:hRule="atLeast"/>
          <w:tblHeader w:val="0"/>
        </w:trPr>
        <w:tc>
          <w:tcPr/>
          <w:p w:rsidR="00000000" w:rsidDel="00000000" w:rsidP="00000000" w:rsidRDefault="00000000" w:rsidRPr="00000000" w14:paraId="00000008">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Magistrado ponente</w:t>
            </w:r>
          </w:p>
        </w:tc>
        <w:tc>
          <w:tcPr/>
          <w:p w:rsidR="00000000" w:rsidDel="00000000" w:rsidP="00000000" w:rsidRDefault="00000000" w:rsidRPr="00000000" w14:paraId="00000009">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Patricia Salazar Cuéllar</w:t>
            </w:r>
          </w:p>
        </w:tc>
      </w:tr>
      <w:tr>
        <w:trPr>
          <w:cantSplit w:val="0"/>
          <w:trHeight w:val="782" w:hRule="atLeast"/>
          <w:tblHeader w:val="0"/>
        </w:trPr>
        <w:tc>
          <w:tcPr/>
          <w:p w:rsidR="00000000" w:rsidDel="00000000" w:rsidP="00000000" w:rsidRDefault="00000000" w:rsidRPr="00000000" w14:paraId="0000000A">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Link sentencia</w:t>
            </w:r>
          </w:p>
        </w:tc>
        <w:tc>
          <w:tcPr/>
          <w:p w:rsidR="00000000" w:rsidDel="00000000" w:rsidP="00000000" w:rsidRDefault="00000000" w:rsidRPr="00000000" w14:paraId="0000000B">
            <w:pPr>
              <w:spacing w:line="240" w:lineRule="auto"/>
              <w:jc w:val="both"/>
              <w:rPr>
                <w:rFonts w:ascii="Cambria" w:cs="Cambria" w:eastAsia="Cambria" w:hAnsi="Cambria"/>
                <w:sz w:val="24"/>
                <w:szCs w:val="24"/>
                <w:highlight w:val="yellow"/>
              </w:rPr>
            </w:pPr>
            <w:r w:rsidDel="00000000" w:rsidR="00000000" w:rsidRPr="00000000">
              <w:rPr>
                <w:rFonts w:ascii="Cambria" w:cs="Cambria" w:eastAsia="Cambria" w:hAnsi="Cambria"/>
                <w:sz w:val="24"/>
                <w:szCs w:val="24"/>
                <w:highlight w:val="yellow"/>
                <w:rtl w:val="0"/>
              </w:rPr>
              <w:t xml:space="preserve">Incluir enlace a la sentencia en la biblioteca del Mentoring</w:t>
            </w:r>
          </w:p>
        </w:tc>
      </w:tr>
      <w:tr>
        <w:trPr>
          <w:cantSplit w:val="0"/>
          <w:trHeight w:val="323" w:hRule="atLeast"/>
          <w:tblHeader w:val="0"/>
        </w:trPr>
        <w:tc>
          <w:tcPr/>
          <w:p w:rsidR="00000000" w:rsidDel="00000000" w:rsidP="00000000" w:rsidRDefault="00000000" w:rsidRPr="00000000" w14:paraId="0000000C">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Etiquetas</w:t>
            </w:r>
          </w:p>
        </w:tc>
        <w:tc>
          <w:tcPr/>
          <w:p w:rsidR="00000000" w:rsidDel="00000000" w:rsidP="00000000" w:rsidRDefault="00000000" w:rsidRPr="00000000" w14:paraId="0000000D">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agresiones mutuas/ análisis de contexto/Valoración probatoria con perspectiva de género</w:t>
            </w:r>
          </w:p>
        </w:tc>
      </w:tr>
      <w:tr>
        <w:trPr>
          <w:cantSplit w:val="0"/>
          <w:trHeight w:val="272" w:hRule="atLeast"/>
          <w:tblHeader w:val="0"/>
        </w:trPr>
        <w:tc>
          <w:tcPr>
            <w:gridSpan w:val="2"/>
          </w:tcPr>
          <w:p w:rsidR="00000000" w:rsidDel="00000000" w:rsidP="00000000" w:rsidRDefault="00000000" w:rsidRPr="00000000" w14:paraId="0000000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Sinopsis</w:t>
            </w:r>
          </w:p>
        </w:tc>
      </w:tr>
      <w:tr>
        <w:trPr>
          <w:cantSplit w:val="0"/>
          <w:trHeight w:val="782" w:hRule="atLeast"/>
          <w:tblHeader w:val="0"/>
        </w:trPr>
        <w:tc>
          <w:tcPr>
            <w:gridSpan w:val="2"/>
          </w:tcPr>
          <w:p w:rsidR="00000000" w:rsidDel="00000000" w:rsidP="00000000" w:rsidRDefault="00000000" w:rsidRPr="00000000" w14:paraId="00000010">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Recurso de casación en un proceso penal por el delito de violencia intrafamiliar. La víctima y el procesado convivían para el momento de los hechos, aunque ya habían liquidado la sociedad conyugal y estaban precisamente iniciando el divorcio. La violencia se presenta el día que la mujer le pide al agresor firmar el poder para el divorcio. Ambos obtuvieron valoración médico legal por  lesiones físicas, la mujer con incapacidad de 12 días, y el agresor con incapacidad de 4 días. Ambas partes interpusieron denuncias penales y solicitudes de medidas de protección. </w:t>
            </w:r>
          </w:p>
          <w:p w:rsidR="00000000" w:rsidDel="00000000" w:rsidP="00000000" w:rsidRDefault="00000000" w:rsidRPr="00000000" w14:paraId="00000011">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primera instancia decide absolver al procesado por duda razonable. La segunda instancia decide revocar ese fallo, y en contrario emite condena por el delito de violencia intrafamiliar, porque si bien reconoce que existieron agresiones mutuas, la agresión del procesado contra la víctima no se entiende como legítima defensa. El procesado interpuso recurso de casación. </w:t>
            </w:r>
          </w:p>
          <w:p w:rsidR="00000000" w:rsidDel="00000000" w:rsidP="00000000" w:rsidRDefault="00000000" w:rsidRPr="00000000" w14:paraId="00000013">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Dentro de este caso, las partes convivían bajo el mismo techo aunque ya habían iniciado proceso de divorcio.</w:t>
            </w:r>
          </w:p>
        </w:tc>
      </w:tr>
      <w:tr>
        <w:trPr>
          <w:cantSplit w:val="0"/>
          <w:trHeight w:val="394" w:hRule="atLeast"/>
          <w:tblHeader w:val="0"/>
        </w:trPr>
        <w:tc>
          <w:tcPr>
            <w:gridSpan w:val="2"/>
          </w:tcPr>
          <w:p w:rsidR="00000000" w:rsidDel="00000000" w:rsidP="00000000" w:rsidRDefault="00000000" w:rsidRPr="00000000" w14:paraId="00000016">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Elementos jurídicos relevantes</w:t>
            </w:r>
          </w:p>
        </w:tc>
      </w:tr>
      <w:tr>
        <w:trPr>
          <w:cantSplit w:val="0"/>
          <w:trHeight w:val="782" w:hRule="atLeast"/>
          <w:tblHeader w:val="0"/>
        </w:trPr>
        <w:tc>
          <w:tcPr>
            <w:gridSpan w:val="2"/>
          </w:tcPr>
          <w:p w:rsidR="00000000" w:rsidDel="00000000" w:rsidP="00000000" w:rsidRDefault="00000000" w:rsidRPr="00000000" w14:paraId="00000018">
            <w:pPr>
              <w:spacing w:after="240" w:before="240" w:line="360" w:lineRule="auto"/>
              <w:ind w:right="60"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ámbito penal, el abordaje de los casos con un enfoque de género implica, entre otras cosas, la indagación por el contexto en el que ocurre un episodio de violencia en particular, toda vez que: (i) es posible que la agresión física haya estado precedida de violencia psicológica, económica o de cualquier otra índole, que también deba ser incluida en los cargos; (ii) permite establecer el nivel de afectación física o psicológica de la víctima; (iii) facilita la determinación de las medidas cautelares que deban tomarse, especialmente las orientadas a la protección de la víctima; (iv) brinda mayores elementos de juicio para analizar la credibilidad de las declaraciones y, en general, para valorar las pruebas practicadas durante el proceso; y (v) fraccionar la realidad, puede contribuir al clima de normalización o banalización de la violencia de género, lo que puede dar lugar a la perpetuación de estas prácticas violatorias de los derechos humanos.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Fonts w:ascii="Times New Roman" w:cs="Times New Roman" w:eastAsia="Times New Roman" w:hAnsi="Times New Roman"/>
                <w:sz w:val="28"/>
                <w:szCs w:val="28"/>
                <w:rtl w:val="0"/>
              </w:rPr>
              <w:t xml:space="preserve">Sumado a lo anterior, la determinación de los contextos que rodean los episodios de violencia resulta útil para: (i) establecer si otras personas han resultado afectadas con la acción violenta, como suele suceder con los niños que son expuestos a las agresiones perpetradas por sus padres; (ii) determinar el nivel de afectación del bien jurídico y, en general, la relevancia penal de la conducta; y (iii)  finalmente, porque solo a partir de decisiones que correspondan a la realidad, en toda su dimensión, es posible generar los cambios sociales necesarios para la erradicación del flagelo de violencia contra las mujeres, en general, y la violencia intrafamiliar, en particular. </w:t>
            </w:r>
            <w:r w:rsidDel="00000000" w:rsidR="00000000" w:rsidRPr="00000000">
              <w:rPr>
                <w:rtl w:val="0"/>
              </w:rPr>
            </w:r>
          </w:p>
          <w:p w:rsidR="00000000" w:rsidDel="00000000" w:rsidP="00000000" w:rsidRDefault="00000000" w:rsidRPr="00000000" w14:paraId="0000001A">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los casos de agresiones mutuas (que es la hipótesis aceptada por el Tribunal en el presente caso), la determinación del contexto resulta fundamental para establecer si la acción violenta de la mujer constituyó una reacción o mecanismo de defensa frente a las agresiones sistemáticas a que había sido sometida, o si, por el contrario, constituye un comportamiento injustificado, que incluso puede ser relevante desde la perspectiva penal, sin que pueda descartarse la coexistencia de conductas violentas atribuibles a los integrantes de la pareja, que eventualmente puedan conducir a la penalización de cada uno de ellos. Lo anterior a título simplemente enunciativo, porque es claro que, en la práctica, pueden presentarse situaciones diferentes, lo que implica que cada caso deba ser abordado según sus particularidades.”</w:t>
            </w:r>
          </w:p>
          <w:p w:rsidR="00000000" w:rsidDel="00000000" w:rsidP="00000000" w:rsidRDefault="00000000" w:rsidRPr="00000000" w14:paraId="0000001C">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el ámbito penal, lo anterior debe armonizarse con los derechos y las garantías del procesado, muchos de ellos consagrados, igualmente, en tratados internacionales sobre derechos humanos, como es el caso de la Convención Americana de Derechos Humanos (Art. 8) y el Pacto Internacional de Derechos Civiles y Políticos (Art. 14), entre los que cabe destacar la presunción de inocencia y las diferentes facetas del debido proceso. No sobre advertir que este aspecto también ha sido objeto de un copioso desarrollo por los Tribunales Internacionales, por la Corte Constitucional y por esta Corporación.”</w:t>
            </w:r>
          </w:p>
          <w:p w:rsidR="00000000" w:rsidDel="00000000" w:rsidP="00000000" w:rsidRDefault="00000000" w:rsidRPr="00000000" w14:paraId="0000001E">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 lo anterior se extrae lo siguiente: (i) el inciso segundo del artículo 229 del Código Penal está orientado a proteger a las mujeres y, en general, a las personas que se encuentren en situación de indefensión, tanto por su edad o condición física o mental, como por la dinámica propia de las relaciones familiares; (ii) el legislador estructuró la norma de tal manera que le corresponde a los operadores judiciales definir en cada caso si se dan las condiciones que justifican la mayor penalización; y (iii) ello reafirma la importancia de investigar acerca del contexto en el que ocurren los hechos, en los términos expuestos a lo largo de este proveído.”</w:t>
            </w:r>
          </w:p>
          <w:p w:rsidR="00000000" w:rsidDel="00000000" w:rsidP="00000000" w:rsidRDefault="00000000" w:rsidRPr="00000000" w14:paraId="00000020">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“Para los fines de esta decisión, debe resaltarse el énfasis que hace la Corte Constitucional en la importancia de la determinación del contexto en el que ocurre la conducta, como presupuesto ineludible para precisar si se trata o no de violencia de género. De hecho, se hace hincapié en que el contenido del literal e del artículo 2' de la Ley 1761 de 2015 apunta a ese propósito, en cuanto consagra aspectos contextuales que pueden resultar útiles para inferir el dolo específico consagrado en esta norma y que, precisamente, permite diferenciar el feminicidio del homicidio previsto en los artículos 103 y siguientes del Código Penal.”</w:t>
            </w:r>
          </w:p>
          <w:p w:rsidR="00000000" w:rsidDel="00000000" w:rsidP="00000000" w:rsidRDefault="00000000" w:rsidRPr="00000000" w14:paraId="00000022">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“Por estas razones, la Sala concluye lo siguiente: (i) el legislador no consagró un elemento subjetivo especial para la aplicación de la circunstancia de mayor punibilidad prevista en el inciso segundo del artículo 229 del Código Penal, como sí lo hizo para el delito de feminicidio; (ü) tal y como sucede con la consagración de este delito -104 A del Código Penal-, dicha causal de agravación constituye otra de las medidas orientadas a erradicar la discriminación y la violencia estructural ejercida sobre las mujeres; (iii) este incremento punitivo se justifica en la medida en que se verifique que el sujeto activo realizó la conducta en un contexto de discriminación, dominación o subyugación de la mujer, independientemente de la finalidad con la que haya actuado; (iv) de esta forma, se garantiza que el daño inherente a una pena mayor esté justificado por la protección de un determinado bien jurídico; y (y) ello se traduce en la obligación que tiene la Fiscalía de indagar por dicho contexto, no solo para establecer la viabilidad de una sanción mayor, sino, además, para verificar si se está en presencia de un caso de violencia de género, que debe ser visibilizado en orden a generar las transformaciones sociales que permitan erradicar este flagelo.”</w:t>
            </w:r>
          </w:p>
          <w:p w:rsidR="00000000" w:rsidDel="00000000" w:rsidP="00000000" w:rsidRDefault="00000000" w:rsidRPr="00000000" w14:paraId="00000024">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en los casos de violencia intrafamiliar, como una de las expresiones de la violencia de género, es determinante el contexto en el que ocurren los actos de agresión, no solo porque ello facilita el entendimiento del caso y la valoración de las pruebas, sino además porque la existencia de escenarios sistemáticos de violencia y discriminación pueden hacer parte de los hechos jurídicamente relevantes, toda vez que: (i) en sí mismos, pueden ser subsumidos en la norma que penaliza la violencia ejercida contra las integrantes de la Familia y dispone la agravación de la pena cuando la misma recae sobre una mujer o sobre otras personas que deben ser objeto de especial protección (niños, ancianos, etcétera), como cuando constituyen violencia física, psicológica u otras formas de agresión; (ii) esos ámbitos de dominación y discriminación deben ser visibilizados, como presupuesto de su erradicación, que es, precisamente, uno de los objetivos principales de la penalización de la violencia de género y, puntualmente, de la ocurrida en el seno de la familia; (iii) desestimar el contexto en el que ocurre la violencia de género y analizar aisladamente las agresiones puede dar lugar a su banalización, punto de partida para que este flagelo sea perpetuado, lo que, desde esta perspectiva, vacía de contenido las normas penales orientadas a sancionar este tipo de atentados contra los derechos humanos; y (iv) ese contexto hace parte de las circunstancias que rodean el delito, cuya relevancia jurídica puede ser más notoria cuando encajan en alguno de los presupuestos previstos en los artículos 54 a 58 del Código Penal, sin perjuicio de que puedan ser subsumidas en cualquiera de las normas de la parte especial de esa codificación, independientemente de que resulten favorables o no al procesado.”</w:t>
            </w:r>
          </w:p>
          <w:p w:rsidR="00000000" w:rsidDel="00000000" w:rsidP="00000000" w:rsidRDefault="00000000" w:rsidRPr="00000000" w14:paraId="00000026">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investigación del contexto puede resultar determinante para establecer la relevancia jurídico penal de cierto tipo de agresiones, que pueden no tenerla si los hechos se analizan aisladamente, pero pueden ser de la mayor gravedad cuando corresponden a patrones sistemáticos de agresión, lo que adquiere mucha más relevancia en los casos de violencia psicológica o económica, pues no se discute que el herimiento físico, causado con dolo a otro integrante del núcleo familiar, encaja en el delito previsto en el artículo 229 del Código Penal, sin perjuicio de que puedan demostrarse circunstancias de atenuación punitiva e, incluso, eximentes de responsabilidad. Sin embargo, incluso en estos casos es importante establecer el contexto en el que ocurrieron los hechos, para decidir sobre la circunstancia de agravación prevista en el inciso segundo de la norma en mención y, en general, para establecer la gravedad de la conducta, lo que debe tenerse en cuenta, entre otras cosas, para la determinación de la pena.”</w:t>
            </w:r>
          </w:p>
          <w:p w:rsidR="00000000" w:rsidDel="00000000" w:rsidP="00000000" w:rsidRDefault="00000000" w:rsidRPr="00000000" w14:paraId="00000028">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2B">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